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21D" w:rsidRDefault="0095321D"/>
    <w:p w:rsidR="00F658E3" w:rsidRDefault="0095321D" w:rsidP="0041551C">
      <w:pPr>
        <w:tabs>
          <w:tab w:val="left" w:pos="1500"/>
          <w:tab w:val="left" w:pos="2610"/>
          <w:tab w:val="center" w:pos="4677"/>
        </w:tabs>
      </w:pPr>
      <w:r>
        <w:tab/>
      </w:r>
      <w:r>
        <w:tab/>
        <w:t xml:space="preserve"> </w:t>
      </w:r>
      <w:r w:rsidR="0041551C">
        <w:t xml:space="preserve"> </w:t>
      </w:r>
    </w:p>
    <w:p w:rsidR="0041551C" w:rsidRDefault="0041551C" w:rsidP="0041551C">
      <w:pPr>
        <w:tabs>
          <w:tab w:val="left" w:pos="1500"/>
          <w:tab w:val="left" w:pos="2610"/>
          <w:tab w:val="center" w:pos="4677"/>
        </w:tabs>
      </w:pPr>
    </w:p>
    <w:p w:rsidR="0095321D" w:rsidRPr="0095321D" w:rsidRDefault="0095321D" w:rsidP="0095321D">
      <w:pPr>
        <w:tabs>
          <w:tab w:val="left" w:pos="2325"/>
        </w:tabs>
        <w:jc w:val="center"/>
        <w:rPr>
          <w:b/>
          <w:bCs/>
          <w:color w:val="C00000"/>
          <w:sz w:val="32"/>
          <w:szCs w:val="32"/>
        </w:rPr>
      </w:pPr>
      <w:r w:rsidRPr="0095321D">
        <w:rPr>
          <w:b/>
          <w:bCs/>
          <w:color w:val="C00000"/>
          <w:sz w:val="32"/>
          <w:szCs w:val="32"/>
        </w:rPr>
        <w:t>ÁGUA TRATADA PARA CONSUMO HUMANO</w:t>
      </w:r>
    </w:p>
    <w:p w:rsidR="0095321D" w:rsidRDefault="0095321D" w:rsidP="0095321D">
      <w:pPr>
        <w:tabs>
          <w:tab w:val="left" w:pos="851"/>
        </w:tabs>
        <w:jc w:val="both"/>
        <w:rPr>
          <w:sz w:val="28"/>
          <w:szCs w:val="28"/>
        </w:rPr>
      </w:pPr>
      <w:r w:rsidRPr="0095321D">
        <w:rPr>
          <w:noProof/>
          <w:sz w:val="28"/>
          <w:szCs w:val="28"/>
        </w:rPr>
        <w:pict>
          <v:rect id="_x0000_s2051" style="position:absolute;left:0;text-align:left;margin-left:.35pt;margin-top:218.65pt;width:480.75pt;height:135pt;z-index:251660288;mso-position-horizontal-relative:margin;mso-position-vertical-relative:margin;mso-width-relative:margin" o:allowincell="f" fillcolor="#4f81bd [3204]" strokecolor="#f2f2f2 [3041]" strokeweight="3pt">
            <v:shadow on="t" type="perspective" color="#243f60 [1604]" opacity=".5" offset="1pt" offset2="-1pt"/>
            <v:textbox style="mso-next-textbox:#_x0000_s2051" inset="18pt,18pt,18pt,18pt">
              <w:txbxContent>
                <w:p w:rsidR="0095321D" w:rsidRPr="0095321D" w:rsidRDefault="0095321D" w:rsidP="0095321D">
                  <w:pPr>
                    <w:jc w:val="both"/>
                    <w:rPr>
                      <w:rFonts w:asciiTheme="majorHAnsi" w:eastAsiaTheme="majorEastAsia" w:hAnsiTheme="majorHAnsi" w:cstheme="majorBidi"/>
                      <w:iCs/>
                      <w:color w:val="FFFFFF" w:themeColor="background1"/>
                      <w:sz w:val="24"/>
                      <w:szCs w:val="24"/>
                    </w:rPr>
                  </w:pPr>
                  <w:r w:rsidRPr="0095321D">
                    <w:rPr>
                      <w:rFonts w:asciiTheme="majorHAnsi" w:eastAsiaTheme="majorEastAsia" w:hAnsiTheme="majorHAnsi" w:cstheme="majorBidi"/>
                      <w:b/>
                      <w:bCs/>
                      <w:iCs/>
                      <w:color w:val="FFFFFF" w:themeColor="background1"/>
                      <w:sz w:val="24"/>
                      <w:szCs w:val="24"/>
                    </w:rPr>
                    <w:t>A ÁGUA PRÓPRIA PARA CONSUMO HUMANO NÃO PODE CONTER MICRORGANISMOS PATOGÊNICOS (QUE CAUSAM DOENÇAS) NEM SUBSTÂNCIAS QUE REPRESENTEM RISCO À SAÚDE EM NÍVEIS SUPERIORES AOS MÁXIMOS PERMITIDOS, ALÉM DE NÃO PODER APRESENTAR CARACTERÍSTICAS QUE CAUSEM REJEIÇÃO POR PARTE DA POPULAÇÃO (COMO GOSTO, ODOR OU COR QUE DEIXEM A ÁGUA COM UM ASPECTO</w:t>
                  </w:r>
                  <w:r w:rsidR="00F658E3">
                    <w:rPr>
                      <w:rFonts w:asciiTheme="majorHAnsi" w:eastAsiaTheme="majorEastAsia" w:hAnsiTheme="majorHAnsi" w:cstheme="majorBidi"/>
                      <w:b/>
                      <w:bCs/>
                      <w:iCs/>
                      <w:color w:val="FFFFFF" w:themeColor="background1"/>
                      <w:sz w:val="24"/>
                      <w:szCs w:val="24"/>
                    </w:rPr>
                    <w:t xml:space="preserve"> DESAGRADÁVEL</w:t>
                  </w:r>
                  <w:r w:rsidRPr="0095321D">
                    <w:rPr>
                      <w:rFonts w:asciiTheme="majorHAnsi" w:eastAsiaTheme="majorEastAsia" w:hAnsiTheme="majorHAnsi" w:cstheme="majorBidi"/>
                      <w:b/>
                      <w:bCs/>
                      <w:iCs/>
                      <w:color w:val="FFFFFF" w:themeColor="background1"/>
                      <w:sz w:val="24"/>
                      <w:szCs w:val="24"/>
                    </w:rPr>
                    <w:t>).</w:t>
                  </w:r>
                </w:p>
                <w:p w:rsidR="0095321D" w:rsidRDefault="0095321D">
                  <w:pPr>
                    <w:rPr>
                      <w:rFonts w:asciiTheme="majorHAnsi" w:eastAsiaTheme="majorEastAsia" w:hAnsiTheme="majorHAnsi" w:cstheme="majorBidi"/>
                      <w:i/>
                      <w:iCs/>
                      <w:color w:val="FFFFFF" w:themeColor="background1"/>
                      <w:sz w:val="36"/>
                      <w:szCs w:val="36"/>
                    </w:rPr>
                  </w:pPr>
                </w:p>
              </w:txbxContent>
            </v:textbox>
            <w10:wrap type="square" anchorx="margin" anchory="margin"/>
          </v:rect>
        </w:pict>
      </w:r>
      <w:r w:rsidRPr="0095321D">
        <w:rPr>
          <w:sz w:val="28"/>
          <w:szCs w:val="28"/>
        </w:rPr>
        <w:tab/>
        <w:t>A água é essencial para os seres humanos, animais e plantas, sendo usada para saciar a sede, preparar alimentos e higiene pessoal (escovar os dentes, lavar as mãos, tomar banho). Dessa forma, a água para consumo humano deve ser potável, ou seja, deve atender ao padrão de potabilidade estabelecido em norma pelo Ministério da Saúde, e não oferecer riscos à saúde</w:t>
      </w:r>
      <w:r>
        <w:rPr>
          <w:sz w:val="28"/>
          <w:szCs w:val="28"/>
        </w:rPr>
        <w:t>.</w:t>
      </w:r>
    </w:p>
    <w:p w:rsidR="00F658E3" w:rsidRDefault="00F658E3" w:rsidP="00F658E3">
      <w:pPr>
        <w:tabs>
          <w:tab w:val="left" w:pos="851"/>
        </w:tabs>
        <w:jc w:val="right"/>
        <w:rPr>
          <w:sz w:val="28"/>
          <w:szCs w:val="28"/>
        </w:rPr>
      </w:pPr>
      <w:r w:rsidRPr="00F658E3">
        <w:rPr>
          <w:sz w:val="28"/>
          <w:szCs w:val="28"/>
        </w:rPr>
        <w:drawing>
          <wp:inline distT="0" distB="0" distL="0" distR="0">
            <wp:extent cx="1381125" cy="981075"/>
            <wp:effectExtent l="19050" t="0" r="9525" b="0"/>
            <wp:docPr id="12" name="Imagem 5" descr="Personagem de gota de água segurando um ponteiro — Imagem de Stock | Gotas  de água, Desenhos animados, Desenhos"/>
            <wp:cNvGraphicFramePr/>
            <a:graphic xmlns:a="http://schemas.openxmlformats.org/drawingml/2006/main">
              <a:graphicData uri="http://schemas.openxmlformats.org/drawingml/2006/picture">
                <pic:pic xmlns:pic="http://schemas.openxmlformats.org/drawingml/2006/picture">
                  <pic:nvPicPr>
                    <pic:cNvPr id="13318" name="Picture 6" descr="Personagem de gota de água segurando um ponteiro — Imagem de Stock | Gotas  de água, Desenhos animados, Desenhos"/>
                    <pic:cNvPicPr>
                      <a:picLocks noChangeAspect="1" noChangeArrowheads="1"/>
                    </pic:cNvPicPr>
                  </pic:nvPicPr>
                  <pic:blipFill>
                    <a:blip r:embed="rId7" cstate="print"/>
                    <a:srcRect/>
                    <a:stretch>
                      <a:fillRect/>
                    </a:stretch>
                  </pic:blipFill>
                  <pic:spPr bwMode="auto">
                    <a:xfrm>
                      <a:off x="0" y="0"/>
                      <a:ext cx="1380918" cy="980928"/>
                    </a:xfrm>
                    <a:prstGeom prst="rect">
                      <a:avLst/>
                    </a:prstGeom>
                    <a:noFill/>
                  </pic:spPr>
                </pic:pic>
              </a:graphicData>
            </a:graphic>
          </wp:inline>
        </w:drawing>
      </w:r>
      <w:r w:rsidRPr="00F658E3">
        <w:rPr>
          <w:sz w:val="28"/>
          <w:szCs w:val="28"/>
        </w:rPr>
        <w:drawing>
          <wp:inline distT="0" distB="0" distL="0" distR="0">
            <wp:extent cx="4152900" cy="1285875"/>
            <wp:effectExtent l="19050" t="0" r="0" b="0"/>
            <wp:docPr id="11" name="Objeto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79717" cy="3482602"/>
                      <a:chOff x="5457806" y="6643671"/>
                      <a:chExt cx="8679717" cy="3482602"/>
                    </a:xfrm>
                  </a:grpSpPr>
                  <a:sp>
                    <a:nvSpPr>
                      <a:cNvPr id="6" name="Texto explicativo em elipse 5"/>
                      <a:cNvSpPr/>
                    </a:nvSpPr>
                    <a:spPr>
                      <a:xfrm>
                        <a:off x="5457806" y="6643671"/>
                        <a:ext cx="8679717" cy="3482602"/>
                      </a:xfrm>
                      <a:prstGeom prst="wedgeEllipseCallout">
                        <a:avLst>
                          <a:gd name="adj1" fmla="val -56831"/>
                          <a:gd name="adj2" fmla="val 7915"/>
                        </a:avLst>
                      </a:prstGeom>
                      <a:solidFill>
                        <a:schemeClr val="accent1">
                          <a:lumMod val="40000"/>
                          <a:lumOff val="60000"/>
                        </a:schemeClr>
                      </a:solidFill>
                    </a:spPr>
                    <a:txSp>
                      <a:txBody>
                        <a:bodyPr lIns="153557" tIns="76779" rIns="153557" bIns="76779" rtlCol="0" anchor="ctr"/>
                        <a:lstStyle>
                          <a:defPPr>
                            <a:defRPr lang="pt-BR"/>
                          </a:defPPr>
                          <a:lvl1pPr marL="0" algn="l" defTabSz="1535570" rtl="0" eaLnBrk="1" latinLnBrk="0" hangingPunct="1">
                            <a:defRPr sz="3000" kern="1200">
                              <a:solidFill>
                                <a:schemeClr val="lt1"/>
                              </a:solidFill>
                              <a:latin typeface="+mn-lt"/>
                              <a:ea typeface="+mn-ea"/>
                              <a:cs typeface="+mn-cs"/>
                            </a:defRPr>
                          </a:lvl1pPr>
                          <a:lvl2pPr marL="767785" algn="l" defTabSz="1535570" rtl="0" eaLnBrk="1" latinLnBrk="0" hangingPunct="1">
                            <a:defRPr sz="3000" kern="1200">
                              <a:solidFill>
                                <a:schemeClr val="lt1"/>
                              </a:solidFill>
                              <a:latin typeface="+mn-lt"/>
                              <a:ea typeface="+mn-ea"/>
                              <a:cs typeface="+mn-cs"/>
                            </a:defRPr>
                          </a:lvl2pPr>
                          <a:lvl3pPr marL="1535570" algn="l" defTabSz="1535570" rtl="0" eaLnBrk="1" latinLnBrk="0" hangingPunct="1">
                            <a:defRPr sz="3000" kern="1200">
                              <a:solidFill>
                                <a:schemeClr val="lt1"/>
                              </a:solidFill>
                              <a:latin typeface="+mn-lt"/>
                              <a:ea typeface="+mn-ea"/>
                              <a:cs typeface="+mn-cs"/>
                            </a:defRPr>
                          </a:lvl3pPr>
                          <a:lvl4pPr marL="2303353" algn="l" defTabSz="1535570" rtl="0" eaLnBrk="1" latinLnBrk="0" hangingPunct="1">
                            <a:defRPr sz="3000" kern="1200">
                              <a:solidFill>
                                <a:schemeClr val="lt1"/>
                              </a:solidFill>
                              <a:latin typeface="+mn-lt"/>
                              <a:ea typeface="+mn-ea"/>
                              <a:cs typeface="+mn-cs"/>
                            </a:defRPr>
                          </a:lvl4pPr>
                          <a:lvl5pPr marL="3071138" algn="l" defTabSz="1535570" rtl="0" eaLnBrk="1" latinLnBrk="0" hangingPunct="1">
                            <a:defRPr sz="3000" kern="1200">
                              <a:solidFill>
                                <a:schemeClr val="lt1"/>
                              </a:solidFill>
                              <a:latin typeface="+mn-lt"/>
                              <a:ea typeface="+mn-ea"/>
                              <a:cs typeface="+mn-cs"/>
                            </a:defRPr>
                          </a:lvl5pPr>
                          <a:lvl6pPr marL="3838923" algn="l" defTabSz="1535570" rtl="0" eaLnBrk="1" latinLnBrk="0" hangingPunct="1">
                            <a:defRPr sz="3000" kern="1200">
                              <a:solidFill>
                                <a:schemeClr val="lt1"/>
                              </a:solidFill>
                              <a:latin typeface="+mn-lt"/>
                              <a:ea typeface="+mn-ea"/>
                              <a:cs typeface="+mn-cs"/>
                            </a:defRPr>
                          </a:lvl6pPr>
                          <a:lvl7pPr marL="4606708" algn="l" defTabSz="1535570" rtl="0" eaLnBrk="1" latinLnBrk="0" hangingPunct="1">
                            <a:defRPr sz="3000" kern="1200">
                              <a:solidFill>
                                <a:schemeClr val="lt1"/>
                              </a:solidFill>
                              <a:latin typeface="+mn-lt"/>
                              <a:ea typeface="+mn-ea"/>
                              <a:cs typeface="+mn-cs"/>
                            </a:defRPr>
                          </a:lvl7pPr>
                          <a:lvl8pPr marL="5374492" algn="l" defTabSz="1535570" rtl="0" eaLnBrk="1" latinLnBrk="0" hangingPunct="1">
                            <a:defRPr sz="3000" kern="1200">
                              <a:solidFill>
                                <a:schemeClr val="lt1"/>
                              </a:solidFill>
                              <a:latin typeface="+mn-lt"/>
                              <a:ea typeface="+mn-ea"/>
                              <a:cs typeface="+mn-cs"/>
                            </a:defRPr>
                          </a:lvl8pPr>
                          <a:lvl9pPr marL="6142277" algn="l" defTabSz="1535570" rtl="0" eaLnBrk="1" latinLnBrk="0" hangingPunct="1">
                            <a:defRPr sz="3000" kern="1200">
                              <a:solidFill>
                                <a:schemeClr val="lt1"/>
                              </a:solidFill>
                              <a:latin typeface="+mn-lt"/>
                              <a:ea typeface="+mn-ea"/>
                              <a:cs typeface="+mn-cs"/>
                            </a:defRPr>
                          </a:lvl9pPr>
                        </a:lstStyle>
                        <a:p>
                          <a:pPr algn="ctr"/>
                          <a:endParaRPr lang="pt-BR" sz="2100" dirty="0">
                            <a:latin typeface="+mj-lt"/>
                          </a:endParaRPr>
                        </a:p>
                        <a:p>
                          <a:pPr algn="ctr"/>
                          <a:r>
                            <a:rPr lang="pt-BR" sz="2400" b="1" i="1" dirty="0">
                              <a:solidFill>
                                <a:schemeClr val="tx1"/>
                              </a:solidFill>
                              <a:latin typeface="+mj-lt"/>
                            </a:rPr>
                            <a:t>Caso observe alguma alteração na água que é fornecida (como odor e/ou coloração diferente da habitual), entre em contato com a empresa responsável pela distribuição da água e/ou com a Secretaria de Saúde do seu município.</a:t>
                          </a: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F658E3" w:rsidRDefault="0041551C" w:rsidP="00F658E3">
      <w:pPr>
        <w:tabs>
          <w:tab w:val="left" w:pos="851"/>
        </w:tabs>
        <w:jc w:val="both"/>
        <w:rPr>
          <w:noProof/>
          <w:lang w:eastAsia="pt-BR"/>
        </w:rPr>
      </w:pPr>
      <w:r>
        <w:rPr>
          <w:sz w:val="28"/>
          <w:szCs w:val="28"/>
        </w:rPr>
        <w:tab/>
      </w:r>
      <w:r w:rsidR="00F658E3" w:rsidRPr="00F658E3">
        <w:rPr>
          <w:sz w:val="28"/>
          <w:szCs w:val="28"/>
        </w:rPr>
        <w:t xml:space="preserve">Se a água para consumo humano não tiver boa qualidade, ou seja, não for potável, pode causar enfermidades tais como: cólera, febre tifóide, giardíase, amebíase, hepatite a, doença diarreica aguda, leptospirose, entre outras. Para evitar a ocorrência dessas doenças, a água precisa ser </w:t>
      </w:r>
      <w:r w:rsidR="00F658E3" w:rsidRPr="00F658E3">
        <w:rPr>
          <w:b/>
          <w:bCs/>
          <w:sz w:val="28"/>
          <w:szCs w:val="28"/>
        </w:rPr>
        <w:t>desinfectada/tratada.</w:t>
      </w:r>
      <w:r w:rsidR="00F658E3" w:rsidRPr="00F658E3">
        <w:rPr>
          <w:noProof/>
          <w:lang w:eastAsia="pt-BR"/>
        </w:rPr>
        <w:t xml:space="preserve"> </w:t>
      </w:r>
    </w:p>
    <w:p w:rsidR="00F658E3" w:rsidRPr="0041551C" w:rsidRDefault="00F658E3" w:rsidP="0041551C">
      <w:pPr>
        <w:tabs>
          <w:tab w:val="left" w:pos="0"/>
        </w:tabs>
        <w:jc w:val="right"/>
        <w:rPr>
          <w:b/>
          <w:bCs/>
          <w:sz w:val="28"/>
          <w:szCs w:val="28"/>
        </w:rPr>
      </w:pPr>
      <w:r w:rsidRPr="00F658E3">
        <w:rPr>
          <w:b/>
          <w:bCs/>
          <w:sz w:val="28"/>
          <w:szCs w:val="28"/>
        </w:rPr>
        <w:drawing>
          <wp:inline distT="0" distB="0" distL="0" distR="0">
            <wp:extent cx="1495425" cy="1085850"/>
            <wp:effectExtent l="19050" t="0" r="9525" b="0"/>
            <wp:docPr id="22" name="Imagem 9" descr="Personagem de gota de água segurando um ponteiro — Imagem de Stock | Gotas  de água, Desenhos animados, Desenhos"/>
            <wp:cNvGraphicFramePr/>
            <a:graphic xmlns:a="http://schemas.openxmlformats.org/drawingml/2006/main">
              <a:graphicData uri="http://schemas.openxmlformats.org/drawingml/2006/picture">
                <pic:pic xmlns:pic="http://schemas.openxmlformats.org/drawingml/2006/picture">
                  <pic:nvPicPr>
                    <pic:cNvPr id="12" name="Picture 6" descr="Personagem de gota de água segurando um ponteiro — Imagem de Stock | Gotas  de água, Desenhos animados, Desenhos"/>
                    <pic:cNvPicPr>
                      <a:picLocks noChangeAspect="1" noChangeArrowheads="1"/>
                    </pic:cNvPicPr>
                  </pic:nvPicPr>
                  <pic:blipFill>
                    <a:blip r:embed="rId8"/>
                    <a:srcRect/>
                    <a:stretch>
                      <a:fillRect/>
                    </a:stretch>
                  </pic:blipFill>
                  <pic:spPr bwMode="auto">
                    <a:xfrm>
                      <a:off x="0" y="0"/>
                      <a:ext cx="1495425" cy="1085850"/>
                    </a:xfrm>
                    <a:prstGeom prst="rect">
                      <a:avLst/>
                    </a:prstGeom>
                    <a:noFill/>
                  </pic:spPr>
                </pic:pic>
              </a:graphicData>
            </a:graphic>
          </wp:inline>
        </w:drawing>
      </w:r>
      <w:r w:rsidRPr="00F658E3">
        <w:rPr>
          <w:b/>
          <w:bCs/>
          <w:sz w:val="28"/>
          <w:szCs w:val="28"/>
        </w:rPr>
        <w:drawing>
          <wp:inline distT="0" distB="0" distL="0" distR="0">
            <wp:extent cx="3952875" cy="1352550"/>
            <wp:effectExtent l="19050" t="0" r="0" b="0"/>
            <wp:docPr id="23" name="Objeto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94031" cy="3429024"/>
                      <a:chOff x="5172054" y="11787207"/>
                      <a:chExt cx="8894031" cy="3429024"/>
                    </a:xfrm>
                  </a:grpSpPr>
                  <a:sp>
                    <a:nvSpPr>
                      <a:cNvPr id="13" name="Texto explicativo em elipse 12"/>
                      <a:cNvSpPr/>
                    </a:nvSpPr>
                    <a:spPr>
                      <a:xfrm>
                        <a:off x="5172054" y="11787207"/>
                        <a:ext cx="8894031" cy="3429024"/>
                      </a:xfrm>
                      <a:prstGeom prst="wedgeEllipseCallout">
                        <a:avLst>
                          <a:gd name="adj1" fmla="val -57235"/>
                          <a:gd name="adj2" fmla="val 12084"/>
                        </a:avLst>
                      </a:prstGeom>
                      <a:solidFill>
                        <a:schemeClr val="accent1">
                          <a:lumMod val="40000"/>
                          <a:lumOff val="60000"/>
                        </a:schemeClr>
                      </a:solidFill>
                    </a:spPr>
                    <a:txSp>
                      <a:txBody>
                        <a:bodyPr lIns="153557" tIns="76779" rIns="153557" bIns="76779" rtlCol="0" anchor="ctr"/>
                        <a:lstStyle>
                          <a:defPPr>
                            <a:defRPr lang="pt-BR"/>
                          </a:defPPr>
                          <a:lvl1pPr marL="0" algn="l" defTabSz="1535570" rtl="0" eaLnBrk="1" latinLnBrk="0" hangingPunct="1">
                            <a:defRPr sz="3000" kern="1200">
                              <a:solidFill>
                                <a:schemeClr val="lt1"/>
                              </a:solidFill>
                              <a:latin typeface="+mn-lt"/>
                              <a:ea typeface="+mn-ea"/>
                              <a:cs typeface="+mn-cs"/>
                            </a:defRPr>
                          </a:lvl1pPr>
                          <a:lvl2pPr marL="767785" algn="l" defTabSz="1535570" rtl="0" eaLnBrk="1" latinLnBrk="0" hangingPunct="1">
                            <a:defRPr sz="3000" kern="1200">
                              <a:solidFill>
                                <a:schemeClr val="lt1"/>
                              </a:solidFill>
                              <a:latin typeface="+mn-lt"/>
                              <a:ea typeface="+mn-ea"/>
                              <a:cs typeface="+mn-cs"/>
                            </a:defRPr>
                          </a:lvl2pPr>
                          <a:lvl3pPr marL="1535570" algn="l" defTabSz="1535570" rtl="0" eaLnBrk="1" latinLnBrk="0" hangingPunct="1">
                            <a:defRPr sz="3000" kern="1200">
                              <a:solidFill>
                                <a:schemeClr val="lt1"/>
                              </a:solidFill>
                              <a:latin typeface="+mn-lt"/>
                              <a:ea typeface="+mn-ea"/>
                              <a:cs typeface="+mn-cs"/>
                            </a:defRPr>
                          </a:lvl3pPr>
                          <a:lvl4pPr marL="2303353" algn="l" defTabSz="1535570" rtl="0" eaLnBrk="1" latinLnBrk="0" hangingPunct="1">
                            <a:defRPr sz="3000" kern="1200">
                              <a:solidFill>
                                <a:schemeClr val="lt1"/>
                              </a:solidFill>
                              <a:latin typeface="+mn-lt"/>
                              <a:ea typeface="+mn-ea"/>
                              <a:cs typeface="+mn-cs"/>
                            </a:defRPr>
                          </a:lvl4pPr>
                          <a:lvl5pPr marL="3071138" algn="l" defTabSz="1535570" rtl="0" eaLnBrk="1" latinLnBrk="0" hangingPunct="1">
                            <a:defRPr sz="3000" kern="1200">
                              <a:solidFill>
                                <a:schemeClr val="lt1"/>
                              </a:solidFill>
                              <a:latin typeface="+mn-lt"/>
                              <a:ea typeface="+mn-ea"/>
                              <a:cs typeface="+mn-cs"/>
                            </a:defRPr>
                          </a:lvl5pPr>
                          <a:lvl6pPr marL="3838923" algn="l" defTabSz="1535570" rtl="0" eaLnBrk="1" latinLnBrk="0" hangingPunct="1">
                            <a:defRPr sz="3000" kern="1200">
                              <a:solidFill>
                                <a:schemeClr val="lt1"/>
                              </a:solidFill>
                              <a:latin typeface="+mn-lt"/>
                              <a:ea typeface="+mn-ea"/>
                              <a:cs typeface="+mn-cs"/>
                            </a:defRPr>
                          </a:lvl6pPr>
                          <a:lvl7pPr marL="4606708" algn="l" defTabSz="1535570" rtl="0" eaLnBrk="1" latinLnBrk="0" hangingPunct="1">
                            <a:defRPr sz="3000" kern="1200">
                              <a:solidFill>
                                <a:schemeClr val="lt1"/>
                              </a:solidFill>
                              <a:latin typeface="+mn-lt"/>
                              <a:ea typeface="+mn-ea"/>
                              <a:cs typeface="+mn-cs"/>
                            </a:defRPr>
                          </a:lvl7pPr>
                          <a:lvl8pPr marL="5374492" algn="l" defTabSz="1535570" rtl="0" eaLnBrk="1" latinLnBrk="0" hangingPunct="1">
                            <a:defRPr sz="3000" kern="1200">
                              <a:solidFill>
                                <a:schemeClr val="lt1"/>
                              </a:solidFill>
                              <a:latin typeface="+mn-lt"/>
                              <a:ea typeface="+mn-ea"/>
                              <a:cs typeface="+mn-cs"/>
                            </a:defRPr>
                          </a:lvl8pPr>
                          <a:lvl9pPr marL="6142277" algn="l" defTabSz="1535570" rtl="0" eaLnBrk="1" latinLnBrk="0" hangingPunct="1">
                            <a:defRPr sz="3000" kern="1200">
                              <a:solidFill>
                                <a:schemeClr val="lt1"/>
                              </a:solidFill>
                              <a:latin typeface="+mn-lt"/>
                              <a:ea typeface="+mn-ea"/>
                              <a:cs typeface="+mn-cs"/>
                            </a:defRPr>
                          </a:lvl9pPr>
                        </a:lstStyle>
                        <a:p>
                          <a:pPr algn="ctr"/>
                          <a:endParaRPr lang="pt-BR" sz="2700" b="1" i="1" dirty="0">
                            <a:solidFill>
                              <a:schemeClr val="tx1"/>
                            </a:solidFill>
                            <a:latin typeface="+mj-lt"/>
                          </a:endParaRPr>
                        </a:p>
                        <a:p>
                          <a:pPr algn="ctr"/>
                          <a:r>
                            <a:rPr lang="pt-BR" sz="2400" b="1" i="1" dirty="0">
                              <a:solidFill>
                                <a:schemeClr val="tx1"/>
                              </a:solidFill>
                              <a:latin typeface="+mj-lt"/>
                            </a:rPr>
                            <a:t>FIQUE ATENTO! O cloro é fundamental para tratar a água para a consumo humano. </a:t>
                          </a:r>
                          <a:r>
                            <a:rPr lang="pt-BR" sz="2400" b="1" i="1" dirty="0">
                              <a:solidFill>
                                <a:schemeClr val="tx1"/>
                              </a:solidFill>
                              <a:latin typeface="+mj-lt"/>
                            </a:rPr>
                            <a:t>Ele combate os agentes patogênicos causadores de doenças além de desinfetar tubulações e reservatórios garantindo a qualidade da </a:t>
                          </a:r>
                          <a:r>
                            <a:rPr lang="pt-BR" sz="2400" b="1" i="1" dirty="0" smtClean="0">
                              <a:solidFill>
                                <a:schemeClr val="tx1"/>
                              </a:solidFill>
                              <a:latin typeface="+mj-lt"/>
                            </a:rPr>
                            <a:t>água.</a:t>
                          </a:r>
                          <a:endParaRPr lang="pt-BR" sz="2400" b="1" i="1" dirty="0">
                            <a:solidFill>
                              <a:schemeClr val="tx1"/>
                            </a:solidFill>
                            <a:latin typeface="+mj-lt"/>
                          </a:endParaRP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41551C" w:rsidRPr="0041551C" w:rsidRDefault="0041551C" w:rsidP="0041551C">
      <w:pPr>
        <w:tabs>
          <w:tab w:val="left" w:pos="851"/>
        </w:tabs>
        <w:jc w:val="both"/>
        <w:rPr>
          <w:sz w:val="28"/>
          <w:szCs w:val="28"/>
        </w:rPr>
      </w:pPr>
      <w:r>
        <w:rPr>
          <w:sz w:val="28"/>
          <w:szCs w:val="28"/>
        </w:rPr>
        <w:tab/>
      </w:r>
      <w:r w:rsidRPr="0041551C">
        <w:rPr>
          <w:sz w:val="28"/>
          <w:szCs w:val="28"/>
        </w:rPr>
        <w:t>No Brasil é lei: todos os sistemas e soluções que distribuem água para as comunidades devem passar por processo de desinfecção ou cloração além da obrigatoriedade de contarem com responsável técnico habilitado para realizar esta atividade. Já está previsto na Portaria GM/MS n° 888/2021 a qual dispõe sobre o controle e vigilância da qualidade da água</w:t>
      </w:r>
      <w:r w:rsidRPr="0041551C">
        <w:rPr>
          <w:b/>
          <w:bCs/>
          <w:sz w:val="28"/>
          <w:szCs w:val="28"/>
        </w:rPr>
        <w:t xml:space="preserve">.                          </w:t>
      </w:r>
    </w:p>
    <w:p w:rsidR="00F658E3" w:rsidRPr="0041551C" w:rsidRDefault="0041551C" w:rsidP="0095321D">
      <w:pPr>
        <w:tabs>
          <w:tab w:val="left" w:pos="851"/>
        </w:tabs>
        <w:jc w:val="both"/>
        <w:rPr>
          <w:color w:val="C00000"/>
          <w:sz w:val="28"/>
          <w:szCs w:val="28"/>
        </w:rPr>
      </w:pPr>
      <w:r w:rsidRPr="0041551C">
        <w:rPr>
          <w:b/>
          <w:bCs/>
          <w:sz w:val="28"/>
          <w:szCs w:val="28"/>
        </w:rPr>
        <w:t xml:space="preserve">                                        </w:t>
      </w:r>
      <w:r w:rsidRPr="0041551C">
        <w:rPr>
          <w:b/>
          <w:bCs/>
          <w:color w:val="C00000"/>
          <w:sz w:val="28"/>
          <w:szCs w:val="28"/>
        </w:rPr>
        <w:t>Não vá beber qualquer água por aí!</w:t>
      </w:r>
    </w:p>
    <w:sectPr w:rsidR="00F658E3" w:rsidRPr="0041551C" w:rsidSect="0041551C">
      <w:headerReference w:type="default" r:id="rId9"/>
      <w:pgSz w:w="11906" w:h="16838"/>
      <w:pgMar w:top="-142" w:right="991" w:bottom="568" w:left="1276"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7683" w:rsidRDefault="00587683" w:rsidP="0095321D">
      <w:pPr>
        <w:spacing w:after="0" w:line="240" w:lineRule="auto"/>
      </w:pPr>
      <w:r>
        <w:separator/>
      </w:r>
    </w:p>
  </w:endnote>
  <w:endnote w:type="continuationSeparator" w:id="1">
    <w:p w:rsidR="00587683" w:rsidRDefault="00587683" w:rsidP="009532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7683" w:rsidRDefault="00587683" w:rsidP="0095321D">
      <w:pPr>
        <w:spacing w:after="0" w:line="240" w:lineRule="auto"/>
      </w:pPr>
      <w:r>
        <w:separator/>
      </w:r>
    </w:p>
  </w:footnote>
  <w:footnote w:type="continuationSeparator" w:id="1">
    <w:p w:rsidR="00587683" w:rsidRDefault="00587683" w:rsidP="009532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21D" w:rsidRPr="0095321D" w:rsidRDefault="0095321D" w:rsidP="0095321D">
    <w:pPr>
      <w:pStyle w:val="Cabealho"/>
    </w:pPr>
    <w:r>
      <w:rPr>
        <w:b/>
        <w:bCs/>
      </w:rPr>
      <w:t xml:space="preserve">                     </w:t>
    </w:r>
    <w:r w:rsidRPr="0095321D">
      <w:rPr>
        <w:b/>
        <w:bCs/>
      </w:rPr>
      <w:drawing>
        <wp:inline distT="0" distB="0" distL="0" distR="0">
          <wp:extent cx="952500" cy="704850"/>
          <wp:effectExtent l="19050" t="0" r="0" b="0"/>
          <wp:docPr id="2" name="Imagem 1" descr="escudo"/>
          <wp:cNvGraphicFramePr/>
          <a:graphic xmlns:a="http://schemas.openxmlformats.org/drawingml/2006/main">
            <a:graphicData uri="http://schemas.openxmlformats.org/drawingml/2006/picture">
              <pic:pic xmlns:pic="http://schemas.openxmlformats.org/drawingml/2006/picture">
                <pic:nvPicPr>
                  <pic:cNvPr id="13319" name="Imagem 1" descr="escudo"/>
                  <pic:cNvPicPr>
                    <a:picLocks noChangeAspect="1" noChangeArrowheads="1"/>
                  </pic:cNvPicPr>
                </pic:nvPicPr>
                <pic:blipFill>
                  <a:blip r:embed="rId1"/>
                  <a:srcRect/>
                  <a:stretch>
                    <a:fillRect/>
                  </a:stretch>
                </pic:blipFill>
                <pic:spPr bwMode="auto">
                  <a:xfrm>
                    <a:off x="0" y="0"/>
                    <a:ext cx="955501" cy="707071"/>
                  </a:xfrm>
                  <a:prstGeom prst="rect">
                    <a:avLst/>
                  </a:prstGeom>
                  <a:noFill/>
                  <a:ln w="9525">
                    <a:noFill/>
                    <a:miter lim="800000"/>
                    <a:headEnd/>
                    <a:tailEnd/>
                  </a:ln>
                </pic:spPr>
              </pic:pic>
            </a:graphicData>
          </a:graphic>
        </wp:inline>
      </w:drawing>
    </w:r>
    <w:r>
      <w:rPr>
        <w:b/>
        <w:bCs/>
      </w:rPr>
      <w:t xml:space="preserve"> </w:t>
    </w:r>
    <w:r w:rsidR="0041551C">
      <w:rPr>
        <w:b/>
        <w:bCs/>
      </w:rPr>
      <w:t xml:space="preserve">            </w:t>
    </w:r>
    <w:r w:rsidRPr="0095321D">
      <w:rPr>
        <w:b/>
        <w:bCs/>
      </w:rPr>
      <w:t>SECRETARIA MUNICIPAL DE SAÚDE</w:t>
    </w:r>
  </w:p>
  <w:p w:rsidR="0095321D" w:rsidRPr="0095321D" w:rsidRDefault="0095321D" w:rsidP="0095321D">
    <w:pPr>
      <w:pStyle w:val="Cabealho"/>
      <w:jc w:val="center"/>
    </w:pPr>
    <w:r w:rsidRPr="0095321D">
      <w:rPr>
        <w:b/>
        <w:bCs/>
      </w:rPr>
      <w:t>Seção de Vigilância Ambiental Saúde</w:t>
    </w:r>
  </w:p>
  <w:p w:rsidR="0095321D" w:rsidRDefault="0095321D">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074"/>
  </w:hdrShapeDefaults>
  <w:footnotePr>
    <w:footnote w:id="0"/>
    <w:footnote w:id="1"/>
  </w:footnotePr>
  <w:endnotePr>
    <w:endnote w:id="0"/>
    <w:endnote w:id="1"/>
  </w:endnotePr>
  <w:compat/>
  <w:rsids>
    <w:rsidRoot w:val="0095321D"/>
    <w:rsid w:val="000B2295"/>
    <w:rsid w:val="0041551C"/>
    <w:rsid w:val="004A7841"/>
    <w:rsid w:val="004F0762"/>
    <w:rsid w:val="00587683"/>
    <w:rsid w:val="0095321D"/>
    <w:rsid w:val="00F658E3"/>
    <w:rsid w:val="00FE3C3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C39"/>
  </w:style>
  <w:style w:type="character" w:default="1" w:styleId="Fontepargpadro">
    <w:name w:val="Default Paragraph Font"/>
    <w:uiPriority w:val="1"/>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semiHidden/>
    <w:unhideWhenUsed/>
    <w:rsid w:val="0095321D"/>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95321D"/>
  </w:style>
  <w:style w:type="paragraph" w:styleId="Rodap">
    <w:name w:val="footer"/>
    <w:basedOn w:val="Normal"/>
    <w:link w:val="RodapChar"/>
    <w:uiPriority w:val="99"/>
    <w:semiHidden/>
    <w:unhideWhenUsed/>
    <w:rsid w:val="0095321D"/>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95321D"/>
  </w:style>
  <w:style w:type="paragraph" w:styleId="Textodebalo">
    <w:name w:val="Balloon Text"/>
    <w:basedOn w:val="Normal"/>
    <w:link w:val="TextodebaloChar"/>
    <w:uiPriority w:val="99"/>
    <w:semiHidden/>
    <w:unhideWhenUsed/>
    <w:rsid w:val="0095321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5321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65686434">
      <w:bodyDiv w:val="1"/>
      <w:marLeft w:val="0"/>
      <w:marRight w:val="0"/>
      <w:marTop w:val="0"/>
      <w:marBottom w:val="0"/>
      <w:divBdr>
        <w:top w:val="none" w:sz="0" w:space="0" w:color="auto"/>
        <w:left w:val="none" w:sz="0" w:space="0" w:color="auto"/>
        <w:bottom w:val="none" w:sz="0" w:space="0" w:color="auto"/>
        <w:right w:val="none" w:sz="0" w:space="0" w:color="auto"/>
      </w:divBdr>
    </w:div>
    <w:div w:id="828449616">
      <w:bodyDiv w:val="1"/>
      <w:marLeft w:val="0"/>
      <w:marRight w:val="0"/>
      <w:marTop w:val="0"/>
      <w:marBottom w:val="0"/>
      <w:divBdr>
        <w:top w:val="none" w:sz="0" w:space="0" w:color="auto"/>
        <w:left w:val="none" w:sz="0" w:space="0" w:color="auto"/>
        <w:bottom w:val="none" w:sz="0" w:space="0" w:color="auto"/>
        <w:right w:val="none" w:sz="0" w:space="0" w:color="auto"/>
      </w:divBdr>
    </w:div>
    <w:div w:id="830098656">
      <w:bodyDiv w:val="1"/>
      <w:marLeft w:val="0"/>
      <w:marRight w:val="0"/>
      <w:marTop w:val="0"/>
      <w:marBottom w:val="0"/>
      <w:divBdr>
        <w:top w:val="none" w:sz="0" w:space="0" w:color="auto"/>
        <w:left w:val="none" w:sz="0" w:space="0" w:color="auto"/>
        <w:bottom w:val="none" w:sz="0" w:space="0" w:color="auto"/>
        <w:right w:val="none" w:sz="0" w:space="0" w:color="auto"/>
      </w:divBdr>
    </w:div>
    <w:div w:id="1226332151">
      <w:bodyDiv w:val="1"/>
      <w:marLeft w:val="0"/>
      <w:marRight w:val="0"/>
      <w:marTop w:val="0"/>
      <w:marBottom w:val="0"/>
      <w:divBdr>
        <w:top w:val="none" w:sz="0" w:space="0" w:color="auto"/>
        <w:left w:val="none" w:sz="0" w:space="0" w:color="auto"/>
        <w:bottom w:val="none" w:sz="0" w:space="0" w:color="auto"/>
        <w:right w:val="none" w:sz="0" w:space="0" w:color="auto"/>
      </w:divBdr>
    </w:div>
    <w:div w:id="1473013045">
      <w:bodyDiv w:val="1"/>
      <w:marLeft w:val="0"/>
      <w:marRight w:val="0"/>
      <w:marTop w:val="0"/>
      <w:marBottom w:val="0"/>
      <w:divBdr>
        <w:top w:val="none" w:sz="0" w:space="0" w:color="auto"/>
        <w:left w:val="none" w:sz="0" w:space="0" w:color="auto"/>
        <w:bottom w:val="none" w:sz="0" w:space="0" w:color="auto"/>
        <w:right w:val="none" w:sz="0" w:space="0" w:color="auto"/>
      </w:divBdr>
    </w:div>
    <w:div w:id="1921064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EB430-2D3D-43B2-B8CE-570D9CFAD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183</Words>
  <Characters>993</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pmu</dc:creator>
  <cp:lastModifiedBy>pmu</cp:lastModifiedBy>
  <cp:revision>1</cp:revision>
  <dcterms:created xsi:type="dcterms:W3CDTF">2021-08-05T17:02:00Z</dcterms:created>
  <dcterms:modified xsi:type="dcterms:W3CDTF">2021-08-05T17:31:00Z</dcterms:modified>
</cp:coreProperties>
</file>